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874" w:rsidRDefault="005F5267">
      <w:pPr>
        <w:widowControl w:val="0"/>
        <w:adjustRightInd/>
        <w:snapToGrid/>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永靖县司法局</w:t>
      </w:r>
    </w:p>
    <w:p w:rsidR="00676874" w:rsidRDefault="005F5267">
      <w:pPr>
        <w:widowControl w:val="0"/>
        <w:adjustRightInd/>
        <w:snapToGrid/>
        <w:spacing w:line="560" w:lineRule="exact"/>
        <w:jc w:val="center"/>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sz w:val="44"/>
          <w:szCs w:val="44"/>
        </w:rPr>
        <w:t>2019</w:t>
      </w:r>
      <w:r>
        <w:rPr>
          <w:rFonts w:ascii="方正小标宋简体" w:eastAsia="方正小标宋简体" w:hAnsi="方正小标宋简体" w:cs="方正小标宋简体" w:hint="eastAsia"/>
          <w:sz w:val="44"/>
          <w:szCs w:val="44"/>
        </w:rPr>
        <w:t>年政府信息公开年度报告</w:t>
      </w:r>
    </w:p>
    <w:p w:rsidR="000151F0" w:rsidRDefault="000151F0">
      <w:pPr>
        <w:widowControl w:val="0"/>
        <w:adjustRightInd/>
        <w:snapToGrid/>
        <w:spacing w:line="560" w:lineRule="exact"/>
        <w:jc w:val="center"/>
        <w:rPr>
          <w:rFonts w:ascii="方正小标宋简体" w:eastAsia="方正小标宋简体" w:hAnsi="方正小标宋简体" w:cs="方正小标宋简体"/>
          <w:sz w:val="44"/>
          <w:szCs w:val="44"/>
        </w:rPr>
      </w:pPr>
    </w:p>
    <w:p w:rsidR="00676874" w:rsidRDefault="005F5267">
      <w:pPr>
        <w:pStyle w:val="a5"/>
        <w:spacing w:before="0" w:beforeAutospacing="0" w:after="0" w:afterAutospacing="0" w:line="420" w:lineRule="atLeast"/>
        <w:rPr>
          <w:rFonts w:ascii="黑体" w:eastAsia="黑体" w:hAnsi="黑体"/>
          <w:kern w:val="2"/>
          <w:sz w:val="34"/>
        </w:rPr>
      </w:pPr>
      <w:r>
        <w:rPr>
          <w:rFonts w:ascii="黑体" w:eastAsia="黑体" w:hAnsi="黑体" w:hint="eastAsia"/>
          <w:kern w:val="2"/>
          <w:sz w:val="34"/>
        </w:rPr>
        <w:t>一、总体情况</w:t>
      </w:r>
    </w:p>
    <w:p w:rsidR="00676874" w:rsidRDefault="005F5267">
      <w:pPr>
        <w:spacing w:line="560" w:lineRule="exact"/>
        <w:ind w:firstLineChars="200" w:firstLine="640"/>
        <w:jc w:val="both"/>
        <w:rPr>
          <w:rFonts w:ascii="仿宋_GB2312" w:eastAsia="仿宋_GB2312" w:hAnsi="仿宋"/>
          <w:kern w:val="2"/>
          <w:sz w:val="32"/>
        </w:rPr>
      </w:pPr>
      <w:r>
        <w:rPr>
          <w:rFonts w:ascii="仿宋_GB2312" w:eastAsia="仿宋_GB2312" w:hAnsi="仿宋_GB2312" w:cs="仿宋_GB2312" w:hint="eastAsia"/>
          <w:kern w:val="2"/>
          <w:sz w:val="32"/>
          <w:szCs w:val="32"/>
        </w:rPr>
        <w:t>2019</w:t>
      </w:r>
      <w:r>
        <w:rPr>
          <w:rFonts w:ascii="仿宋_GB2312" w:eastAsia="仿宋_GB2312" w:hAnsi="仿宋_GB2312" w:cs="仿宋_GB2312" w:hint="eastAsia"/>
          <w:kern w:val="2"/>
          <w:sz w:val="32"/>
          <w:szCs w:val="32"/>
        </w:rPr>
        <w:t>年</w:t>
      </w:r>
      <w:r>
        <w:rPr>
          <w:rFonts w:ascii="仿宋_GB2312" w:eastAsia="仿宋_GB2312" w:hAnsi="仿宋_GB2312" w:cs="仿宋_GB2312" w:hint="eastAsia"/>
          <w:kern w:val="2"/>
          <w:sz w:val="32"/>
          <w:szCs w:val="32"/>
        </w:rPr>
        <w:t>，我们</w:t>
      </w:r>
      <w:r>
        <w:rPr>
          <w:rFonts w:ascii="仿宋_GB2312" w:eastAsia="仿宋_GB2312" w:hAnsi="仿宋_GB2312" w:cs="仿宋_GB2312" w:hint="eastAsia"/>
          <w:kern w:val="2"/>
          <w:sz w:val="32"/>
          <w:szCs w:val="32"/>
        </w:rPr>
        <w:t>认真贯彻落实《新条例》《国务院办公厅政府信息与政务信息公开办公室关于政府信息公开年度报告有关事项的通知》等文件精神，以机构改革为契机，</w:t>
      </w:r>
      <w:r>
        <w:rPr>
          <w:rFonts w:ascii="仿宋_GB2312" w:eastAsia="仿宋_GB2312" w:hAnsi="仿宋_GB2312" w:cs="仿宋_GB2312" w:hint="eastAsia"/>
          <w:kern w:val="2"/>
          <w:sz w:val="32"/>
          <w:szCs w:val="32"/>
        </w:rPr>
        <w:t>完善</w:t>
      </w:r>
      <w:r>
        <w:rPr>
          <w:rFonts w:ascii="仿宋_GB2312" w:eastAsia="仿宋_GB2312" w:hAnsi="仿宋_GB2312" w:cs="仿宋_GB2312" w:hint="eastAsia"/>
          <w:kern w:val="2"/>
          <w:sz w:val="32"/>
          <w:szCs w:val="32"/>
        </w:rPr>
        <w:t>政务公开</w:t>
      </w:r>
      <w:r>
        <w:rPr>
          <w:rFonts w:ascii="仿宋_GB2312" w:eastAsia="仿宋_GB2312" w:hAnsi="仿宋_GB2312" w:cs="仿宋_GB2312" w:hint="eastAsia"/>
          <w:kern w:val="2"/>
          <w:sz w:val="32"/>
          <w:szCs w:val="32"/>
        </w:rPr>
        <w:t>制度机制</w:t>
      </w:r>
      <w:r>
        <w:rPr>
          <w:rFonts w:ascii="仿宋_GB2312" w:eastAsia="仿宋_GB2312" w:hAnsi="仿宋_GB2312" w:cs="仿宋_GB2312" w:hint="eastAsia"/>
          <w:kern w:val="2"/>
          <w:sz w:val="32"/>
          <w:szCs w:val="32"/>
        </w:rPr>
        <w:t>，政务公开质量得到了有效提高。成立</w:t>
      </w:r>
      <w:r>
        <w:rPr>
          <w:rFonts w:ascii="仿宋_GB2312" w:eastAsia="仿宋_GB2312" w:hAnsi="仿宋_GB2312" w:cs="仿宋_GB2312" w:hint="eastAsia"/>
          <w:kern w:val="2"/>
          <w:sz w:val="32"/>
          <w:szCs w:val="32"/>
        </w:rPr>
        <w:t>了</w:t>
      </w:r>
      <w:r>
        <w:rPr>
          <w:rFonts w:ascii="仿宋_GB2312" w:eastAsia="仿宋_GB2312" w:hAnsi="仿宋_GB2312" w:cs="仿宋_GB2312" w:hint="eastAsia"/>
          <w:kern w:val="2"/>
          <w:sz w:val="32"/>
          <w:szCs w:val="32"/>
        </w:rPr>
        <w:t>由党组书记、局长任组长，班子成员任副组长，各股室负责人为成员</w:t>
      </w:r>
      <w:r>
        <w:rPr>
          <w:rFonts w:ascii="仿宋_GB2312" w:eastAsia="仿宋_GB2312" w:hAnsi="仿宋_GB2312" w:cs="仿宋_GB2312" w:hint="eastAsia"/>
          <w:kern w:val="2"/>
          <w:sz w:val="32"/>
          <w:szCs w:val="32"/>
        </w:rPr>
        <w:t>的</w:t>
      </w:r>
      <w:r>
        <w:rPr>
          <w:rFonts w:ascii="仿宋_GB2312" w:eastAsia="仿宋_GB2312" w:hAnsi="仿宋_GB2312" w:cs="仿宋_GB2312" w:hint="eastAsia"/>
          <w:kern w:val="2"/>
          <w:sz w:val="32"/>
          <w:szCs w:val="32"/>
        </w:rPr>
        <w:t>政府信息公开工作领导小组，</w:t>
      </w:r>
      <w:r>
        <w:rPr>
          <w:rFonts w:ascii="仿宋_GB2312" w:eastAsia="仿宋_GB2312" w:hAnsi="仿宋_GB2312" w:cs="仿宋_GB2312" w:hint="eastAsia"/>
          <w:kern w:val="2"/>
          <w:sz w:val="32"/>
          <w:szCs w:val="32"/>
        </w:rPr>
        <w:t>确定局机关</w:t>
      </w:r>
      <w:r>
        <w:rPr>
          <w:rFonts w:ascii="仿宋_GB2312" w:eastAsia="仿宋_GB2312" w:hAnsi="仿宋_GB2312" w:cs="仿宋_GB2312" w:hint="eastAsia"/>
          <w:kern w:val="2"/>
          <w:sz w:val="32"/>
          <w:szCs w:val="32"/>
        </w:rPr>
        <w:t>办公室负责信息公开日常事务工作</w:t>
      </w:r>
      <w:r>
        <w:rPr>
          <w:rFonts w:ascii="仿宋_GB2312" w:eastAsia="仿宋_GB2312" w:hAnsi="仿宋_GB2312" w:cs="仿宋_GB2312" w:hint="eastAsia"/>
          <w:kern w:val="2"/>
          <w:sz w:val="32"/>
          <w:szCs w:val="32"/>
        </w:rPr>
        <w:t>。</w:t>
      </w:r>
      <w:r>
        <w:rPr>
          <w:rFonts w:ascii="仿宋_GB2312" w:eastAsia="仿宋_GB2312" w:hAnsi="仿宋_GB2312" w:cs="仿宋_GB2312" w:hint="eastAsia"/>
          <w:kern w:val="2"/>
          <w:sz w:val="32"/>
          <w:szCs w:val="32"/>
        </w:rPr>
        <w:t>进一步规范政务公开工作的内容、公开范围及操作流程，严格执行政府信息发布保密审查机制，由各股室负责人对发布的政府信息进行严格把关，实行“谁审核，谁负责”，有效保障了政府信息公开工作的顺利开展。</w:t>
      </w:r>
      <w:r>
        <w:rPr>
          <w:rFonts w:ascii="仿宋_GB2312" w:eastAsia="仿宋_GB2312" w:hAnsi="仿宋_GB2312" w:cs="仿宋_GB2312" w:hint="eastAsia"/>
          <w:kern w:val="2"/>
          <w:sz w:val="32"/>
          <w:szCs w:val="32"/>
        </w:rPr>
        <w:t>同时，</w:t>
      </w:r>
      <w:r>
        <w:rPr>
          <w:rFonts w:ascii="仿宋_GB2312" w:eastAsia="仿宋_GB2312" w:hAnsi="仿宋_GB2312" w:cs="仿宋_GB2312" w:hint="eastAsia"/>
          <w:kern w:val="2"/>
          <w:sz w:val="32"/>
          <w:szCs w:val="32"/>
        </w:rPr>
        <w:t>不断拓宽政府信息公开渠道，严格遵循依法规范公开原则，真实、准确、及时发布信息，真正做到便民、利民。通过微信公众平台、</w:t>
      </w:r>
      <w:r>
        <w:rPr>
          <w:rFonts w:ascii="仿宋_GB2312" w:eastAsia="仿宋_GB2312" w:hAnsi="仿宋_GB2312" w:cs="仿宋_GB2312" w:hint="eastAsia"/>
          <w:kern w:val="2"/>
          <w:sz w:val="32"/>
          <w:szCs w:val="32"/>
        </w:rPr>
        <w:t>QQ</w:t>
      </w:r>
      <w:r>
        <w:rPr>
          <w:rFonts w:ascii="仿宋_GB2312" w:eastAsia="仿宋_GB2312" w:hAnsi="仿宋_GB2312" w:cs="仿宋_GB2312" w:hint="eastAsia"/>
          <w:kern w:val="2"/>
          <w:sz w:val="32"/>
          <w:szCs w:val="32"/>
        </w:rPr>
        <w:t>群等信息渠道，将有关业务和最新的办事结果公开并与群众互动交流，提高工作透明度，主动接受群众监督。</w:t>
      </w:r>
      <w:r>
        <w:rPr>
          <w:rFonts w:ascii="仿宋_GB2312" w:eastAsia="仿宋_GB2312" w:hAnsi="仿宋_GB2312" w:cs="仿宋_GB2312" w:hint="eastAsia"/>
          <w:sz w:val="32"/>
          <w:szCs w:val="32"/>
        </w:rPr>
        <w:t>201</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县司法局</w:t>
      </w:r>
      <w:r>
        <w:rPr>
          <w:rFonts w:ascii="仿宋_GB2312" w:eastAsia="仿宋_GB2312" w:hAnsi="仿宋_GB2312" w:cs="仿宋_GB2312" w:hint="eastAsia"/>
          <w:sz w:val="32"/>
          <w:szCs w:val="32"/>
        </w:rPr>
        <w:t>按照上级要求扎实推进政府信息公开工作，形成了从上至下、从内到外的政务公开机制，构建了全方位、多层次的政府信息公开体系，政务公开工作取得良好成效。</w:t>
      </w:r>
      <w:r>
        <w:rPr>
          <w:rFonts w:ascii="仿宋_GB2312" w:eastAsia="仿宋_GB2312" w:hAnsi="仿宋_GB2312" w:cs="仿宋_GB2312" w:hint="eastAsia"/>
          <w:sz w:val="32"/>
          <w:szCs w:val="32"/>
        </w:rPr>
        <w:t>201</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县</w:t>
      </w:r>
      <w:r>
        <w:rPr>
          <w:rFonts w:ascii="仿宋_GB2312" w:eastAsia="仿宋_GB2312" w:hAnsi="仿宋_GB2312" w:cs="仿宋_GB2312" w:hint="eastAsia"/>
          <w:sz w:val="32"/>
          <w:szCs w:val="32"/>
        </w:rPr>
        <w:t>司法局</w:t>
      </w:r>
      <w:r>
        <w:rPr>
          <w:rFonts w:ascii="仿宋_GB2312" w:eastAsia="仿宋_GB2312" w:hAnsi="仿宋_GB2312" w:cs="仿宋_GB2312" w:hint="eastAsia"/>
          <w:sz w:val="32"/>
          <w:szCs w:val="32"/>
        </w:rPr>
        <w:t>通过</w:t>
      </w:r>
      <w:r>
        <w:rPr>
          <w:rFonts w:ascii="仿宋_GB2312" w:eastAsia="仿宋_GB2312" w:hAnsi="仿宋_GB2312" w:cs="仿宋_GB2312" w:hint="eastAsia"/>
          <w:sz w:val="32"/>
          <w:szCs w:val="32"/>
        </w:rPr>
        <w:t>永靖县人民政府网站</w:t>
      </w:r>
      <w:r>
        <w:rPr>
          <w:rFonts w:ascii="仿宋_GB2312" w:eastAsia="仿宋_GB2312" w:hAnsi="仿宋_GB2312" w:cs="仿宋_GB2312" w:hint="eastAsia"/>
          <w:sz w:val="32"/>
          <w:szCs w:val="32"/>
        </w:rPr>
        <w:t>重点公开了</w:t>
      </w:r>
      <w:r>
        <w:rPr>
          <w:rFonts w:ascii="仿宋_GB2312" w:eastAsia="仿宋_GB2312" w:hAnsi="仿宋_GB2312" w:cs="仿宋_GB2312" w:hint="eastAsia"/>
          <w:sz w:val="32"/>
          <w:szCs w:val="32"/>
        </w:rPr>
        <w:t>决算、预算</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条</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通过黄河三峡网</w:t>
      </w:r>
      <w:r>
        <w:rPr>
          <w:rFonts w:ascii="仿宋_GB2312" w:eastAsia="仿宋_GB2312" w:hAnsi="仿宋_GB2312" w:cs="仿宋_GB2312" w:hint="eastAsia"/>
          <w:sz w:val="32"/>
          <w:szCs w:val="32"/>
        </w:rPr>
        <w:t>、微信公众号、微博等新媒体</w:t>
      </w:r>
      <w:r>
        <w:rPr>
          <w:rFonts w:ascii="仿宋_GB2312" w:eastAsia="仿宋_GB2312" w:hAnsi="仿宋_GB2312" w:cs="仿宋_GB2312" w:hint="eastAsia"/>
          <w:sz w:val="32"/>
          <w:szCs w:val="32"/>
        </w:rPr>
        <w:t>主</w:t>
      </w:r>
      <w:r>
        <w:rPr>
          <w:rFonts w:ascii="仿宋_GB2312" w:eastAsia="仿宋_GB2312" w:hAnsi="仿宋_GB2312" w:cs="仿宋_GB2312" w:hint="eastAsia"/>
          <w:sz w:val="32"/>
          <w:szCs w:val="32"/>
        </w:rPr>
        <w:lastRenderedPageBreak/>
        <w:t>动公开信息共计</w:t>
      </w:r>
      <w:r>
        <w:rPr>
          <w:rFonts w:ascii="仿宋_GB2312" w:eastAsia="仿宋_GB2312" w:hAnsi="仿宋_GB2312" w:cs="仿宋_GB2312" w:hint="eastAsia"/>
          <w:sz w:val="32"/>
          <w:szCs w:val="32"/>
        </w:rPr>
        <w:t>30</w:t>
      </w:r>
      <w:r>
        <w:rPr>
          <w:rFonts w:ascii="仿宋_GB2312" w:eastAsia="仿宋_GB2312" w:hAnsi="仿宋_GB2312" w:cs="仿宋_GB2312" w:hint="eastAsia"/>
          <w:sz w:val="32"/>
          <w:szCs w:val="32"/>
        </w:rPr>
        <w:t>条</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通过电视公开信息</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条，</w:t>
      </w:r>
      <w:r>
        <w:rPr>
          <w:rFonts w:ascii="仿宋_GB2312" w:eastAsia="仿宋_GB2312" w:hAnsi="仿宋_GB2312" w:cs="仿宋_GB2312" w:hint="eastAsia"/>
          <w:sz w:val="32"/>
          <w:szCs w:val="32"/>
        </w:rPr>
        <w:t>公开公文类信息</w:t>
      </w:r>
      <w:r>
        <w:rPr>
          <w:rFonts w:ascii="仿宋_GB2312" w:eastAsia="仿宋_GB2312" w:hAnsi="仿宋_GB2312" w:cs="仿宋_GB2312" w:hint="eastAsia"/>
          <w:sz w:val="32"/>
          <w:szCs w:val="32"/>
        </w:rPr>
        <w:t>56</w:t>
      </w:r>
      <w:r>
        <w:rPr>
          <w:rFonts w:ascii="仿宋_GB2312" w:eastAsia="仿宋_GB2312" w:hAnsi="仿宋_GB2312" w:cs="仿宋_GB2312" w:hint="eastAsia"/>
          <w:sz w:val="32"/>
          <w:szCs w:val="32"/>
        </w:rPr>
        <w:t>条，</w:t>
      </w:r>
      <w:r>
        <w:rPr>
          <w:rFonts w:ascii="仿宋_GB2312" w:eastAsia="仿宋_GB2312" w:hAnsi="仿宋_GB2312" w:cs="仿宋_GB2312" w:hint="eastAsia"/>
          <w:sz w:val="32"/>
          <w:szCs w:val="32"/>
        </w:rPr>
        <w:t>重点公开了</w:t>
      </w:r>
      <w:r>
        <w:rPr>
          <w:rFonts w:ascii="仿宋_GB2312" w:eastAsia="仿宋_GB2312" w:hAnsi="仿宋_GB2312" w:cs="仿宋_GB2312" w:hint="eastAsia"/>
          <w:sz w:val="32"/>
          <w:szCs w:val="32"/>
        </w:rPr>
        <w:t>法治宣传、行政执法监督、扫黑除恶、人民陪审员选任</w:t>
      </w:r>
      <w:r>
        <w:rPr>
          <w:rFonts w:ascii="仿宋_GB2312" w:eastAsia="仿宋_GB2312" w:hAnsi="仿宋_GB2312" w:cs="仿宋_GB2312" w:hint="eastAsia"/>
          <w:sz w:val="32"/>
          <w:szCs w:val="32"/>
        </w:rPr>
        <w:t>等工作信息</w:t>
      </w:r>
      <w:r>
        <w:rPr>
          <w:rFonts w:ascii="仿宋_GB2312" w:eastAsia="仿宋_GB2312" w:hAnsi="仿宋_GB2312" w:cs="仿宋_GB2312" w:hint="eastAsia"/>
          <w:sz w:val="32"/>
          <w:szCs w:val="32"/>
        </w:rPr>
        <w:t>。主要负责人参与电视访谈</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次，对依法治县相关内容进行了解读。同时，</w:t>
      </w:r>
      <w:r>
        <w:rPr>
          <w:rFonts w:ascii="仿宋_GB2312" w:eastAsia="仿宋_GB2312" w:hAnsi="仿宋_GB2312" w:cs="仿宋_GB2312" w:hint="eastAsia"/>
          <w:sz w:val="32"/>
          <w:szCs w:val="32"/>
        </w:rPr>
        <w:t>成立了由县局主要负责人任组长，分管领导任副组长，</w:t>
      </w:r>
      <w:r>
        <w:rPr>
          <w:rFonts w:ascii="仿宋_GB2312" w:eastAsia="仿宋_GB2312" w:hAnsi="仿宋_GB2312" w:cs="仿宋_GB2312" w:hint="eastAsia"/>
          <w:sz w:val="32"/>
          <w:szCs w:val="32"/>
        </w:rPr>
        <w:t>各股室</w:t>
      </w:r>
      <w:r>
        <w:rPr>
          <w:rFonts w:ascii="仿宋_GB2312" w:eastAsia="仿宋_GB2312" w:hAnsi="仿宋_GB2312" w:cs="仿宋_GB2312" w:hint="eastAsia"/>
          <w:sz w:val="32"/>
          <w:szCs w:val="32"/>
        </w:rPr>
        <w:t>负责</w:t>
      </w:r>
      <w:r>
        <w:rPr>
          <w:rFonts w:ascii="仿宋_GB2312" w:eastAsia="仿宋_GB2312" w:hAnsi="仿宋_GB2312" w:cs="仿宋_GB2312" w:hint="eastAsia"/>
          <w:sz w:val="32"/>
          <w:szCs w:val="32"/>
        </w:rPr>
        <w:t>人为成员的工作领导小组，形成上下联动，齐抓共管的工作机制，做到分工明确、责任到人，措施落实，进一步加强了公开工作推进力度。</w:t>
      </w:r>
    </w:p>
    <w:p w:rsidR="00676874" w:rsidRDefault="005F5267">
      <w:pPr>
        <w:pStyle w:val="a5"/>
        <w:spacing w:before="0" w:beforeAutospacing="0" w:after="0" w:afterAutospacing="0" w:line="420" w:lineRule="atLeast"/>
        <w:ind w:firstLineChars="200" w:firstLine="640"/>
        <w:rPr>
          <w:rFonts w:ascii="黑体" w:eastAsia="黑体" w:hAnsi="黑体"/>
          <w:kern w:val="2"/>
          <w:sz w:val="32"/>
        </w:rPr>
      </w:pPr>
      <w:r>
        <w:rPr>
          <w:rFonts w:ascii="黑体" w:eastAsia="黑体" w:hAnsi="黑体" w:hint="eastAsia"/>
          <w:kern w:val="2"/>
          <w:sz w:val="32"/>
        </w:rPr>
        <w:t>二、主动公开政府信息情况</w:t>
      </w:r>
    </w:p>
    <w:tbl>
      <w:tblPr>
        <w:tblW w:w="8396" w:type="dxa"/>
        <w:tblCellSpacing w:w="0" w:type="dxa"/>
        <w:tblBorders>
          <w:top w:val="single" w:sz="6" w:space="0" w:color="CCCCCC"/>
          <w:left w:val="single" w:sz="6" w:space="0" w:color="CCCCCC"/>
        </w:tblBorders>
        <w:tblLayout w:type="fixed"/>
        <w:tblCellMar>
          <w:left w:w="0" w:type="dxa"/>
          <w:right w:w="0" w:type="dxa"/>
        </w:tblCellMar>
        <w:tblLook w:val="0000"/>
      </w:tblPr>
      <w:tblGrid>
        <w:gridCol w:w="2561"/>
        <w:gridCol w:w="1857"/>
        <w:gridCol w:w="2092"/>
        <w:gridCol w:w="1886"/>
      </w:tblGrid>
      <w:tr w:rsidR="00676874">
        <w:trPr>
          <w:tblCellSpacing w:w="0" w:type="dxa"/>
        </w:trPr>
        <w:tc>
          <w:tcPr>
            <w:tcW w:w="8396" w:type="dxa"/>
            <w:gridSpan w:val="4"/>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第二十条（一）项</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信息内容</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本年新制作数量</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本年度新公开数量</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对外公开总数量</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规章</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规范性文件</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0</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0</w:t>
            </w:r>
          </w:p>
        </w:tc>
      </w:tr>
      <w:tr w:rsidR="00676874">
        <w:trPr>
          <w:trHeight w:val="690"/>
          <w:tblCellSpacing w:w="0" w:type="dxa"/>
        </w:trPr>
        <w:tc>
          <w:tcPr>
            <w:tcW w:w="8396" w:type="dxa"/>
            <w:gridSpan w:val="4"/>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第二十条（五）项</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信息内容</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上一年项目数量</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本年增</w:t>
            </w:r>
            <w:r>
              <w:rPr>
                <w:rFonts w:ascii="宋体" w:eastAsia="宋体" w:hAnsi="宋体" w:cs="宋体"/>
                <w:color w:val="333333"/>
                <w:sz w:val="24"/>
                <w:szCs w:val="24"/>
              </w:rPr>
              <w:t>/</w:t>
            </w:r>
            <w:r>
              <w:rPr>
                <w:rFonts w:ascii="宋体" w:eastAsia="宋体" w:hAnsi="宋体" w:cs="宋体"/>
                <w:color w:val="333333"/>
                <w:sz w:val="24"/>
                <w:szCs w:val="24"/>
              </w:rPr>
              <w:t>减</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处理决定数量</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行政许可</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其他对外管理服务事项</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rHeight w:val="624"/>
          <w:tblCellSpacing w:w="0" w:type="dxa"/>
        </w:trPr>
        <w:tc>
          <w:tcPr>
            <w:tcW w:w="8396" w:type="dxa"/>
            <w:gridSpan w:val="4"/>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第二十条（六）项</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信息内容</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上一年项目数量</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本年增</w:t>
            </w:r>
            <w:r>
              <w:rPr>
                <w:rFonts w:ascii="宋体" w:eastAsia="宋体" w:hAnsi="宋体" w:cs="宋体"/>
                <w:color w:val="333333"/>
                <w:sz w:val="24"/>
                <w:szCs w:val="24"/>
              </w:rPr>
              <w:t>/</w:t>
            </w:r>
            <w:r>
              <w:rPr>
                <w:rFonts w:ascii="宋体" w:eastAsia="宋体" w:hAnsi="宋体" w:cs="宋体"/>
                <w:color w:val="333333"/>
                <w:sz w:val="24"/>
                <w:szCs w:val="24"/>
              </w:rPr>
              <w:t>减</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处理决定数量</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行政处罚</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rHeight w:val="596"/>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行政强制</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rHeight w:val="758"/>
          <w:tblCellSpacing w:w="0" w:type="dxa"/>
        </w:trPr>
        <w:tc>
          <w:tcPr>
            <w:tcW w:w="8396" w:type="dxa"/>
            <w:gridSpan w:val="4"/>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第二十条（八）项</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信息内容</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上一年项目数量</w:t>
            </w:r>
          </w:p>
        </w:tc>
        <w:tc>
          <w:tcPr>
            <w:tcW w:w="3978" w:type="dxa"/>
            <w:gridSpan w:val="2"/>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本年增</w:t>
            </w:r>
            <w:r>
              <w:rPr>
                <w:rFonts w:ascii="宋体" w:eastAsia="宋体" w:hAnsi="宋体" w:cs="宋体"/>
                <w:color w:val="333333"/>
                <w:sz w:val="24"/>
                <w:szCs w:val="24"/>
              </w:rPr>
              <w:t>/</w:t>
            </w:r>
            <w:r>
              <w:rPr>
                <w:rFonts w:ascii="宋体" w:eastAsia="宋体" w:hAnsi="宋体" w:cs="宋体"/>
                <w:color w:val="333333"/>
                <w:sz w:val="24"/>
                <w:szCs w:val="24"/>
              </w:rPr>
              <w:t>减</w:t>
            </w:r>
          </w:p>
        </w:tc>
      </w:tr>
      <w:tr w:rsidR="00676874">
        <w:trPr>
          <w:trHeight w:val="536"/>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lastRenderedPageBreak/>
              <w:t>行政事业性收费</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0</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0</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0</w:t>
            </w:r>
          </w:p>
        </w:tc>
      </w:tr>
      <w:tr w:rsidR="00676874">
        <w:trPr>
          <w:trHeight w:val="792"/>
          <w:tblCellSpacing w:w="0" w:type="dxa"/>
        </w:trPr>
        <w:tc>
          <w:tcPr>
            <w:tcW w:w="8396" w:type="dxa"/>
            <w:gridSpan w:val="4"/>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第二十条（九）项</w:t>
            </w:r>
          </w:p>
        </w:tc>
      </w:tr>
      <w:tr w:rsidR="00676874">
        <w:trPr>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信息内容</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采购项目数量</w:t>
            </w:r>
          </w:p>
        </w:tc>
        <w:tc>
          <w:tcPr>
            <w:tcW w:w="3978" w:type="dxa"/>
            <w:gridSpan w:val="2"/>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采购总金额</w:t>
            </w:r>
          </w:p>
        </w:tc>
      </w:tr>
      <w:tr w:rsidR="00676874">
        <w:trPr>
          <w:trHeight w:val="1535"/>
          <w:tblCellSpacing w:w="0" w:type="dxa"/>
        </w:trPr>
        <w:tc>
          <w:tcPr>
            <w:tcW w:w="2561"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政府集中采购</w:t>
            </w:r>
          </w:p>
        </w:tc>
        <w:tc>
          <w:tcPr>
            <w:tcW w:w="18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2092"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188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bl>
    <w:p w:rsidR="00676874" w:rsidRDefault="005F5267">
      <w:pPr>
        <w:pStyle w:val="a5"/>
        <w:spacing w:before="0" w:beforeAutospacing="0" w:after="0" w:afterAutospacing="0" w:line="420" w:lineRule="atLeast"/>
        <w:ind w:firstLineChars="200" w:firstLine="640"/>
        <w:rPr>
          <w:rFonts w:ascii="黑体" w:eastAsia="黑体" w:hAnsi="黑体"/>
          <w:kern w:val="2"/>
          <w:sz w:val="32"/>
        </w:rPr>
      </w:pPr>
      <w:r>
        <w:rPr>
          <w:rFonts w:ascii="黑体" w:eastAsia="黑体" w:hAnsi="黑体" w:hint="eastAsia"/>
          <w:kern w:val="2"/>
          <w:sz w:val="32"/>
        </w:rPr>
        <w:t>三、收到和处理政府信息公开申请情况</w:t>
      </w:r>
      <w:r>
        <w:rPr>
          <w:rFonts w:ascii="黑体" w:eastAsia="黑体" w:hAnsi="黑体" w:hint="eastAsia"/>
          <w:kern w:val="2"/>
          <w:sz w:val="32"/>
        </w:rPr>
        <w:t> </w:t>
      </w:r>
    </w:p>
    <w:tbl>
      <w:tblPr>
        <w:tblW w:w="8396" w:type="dxa"/>
        <w:tblCellSpacing w:w="0" w:type="dxa"/>
        <w:tblBorders>
          <w:top w:val="single" w:sz="6" w:space="0" w:color="CCCCCC"/>
          <w:left w:val="single" w:sz="6" w:space="0" w:color="CCCCCC"/>
        </w:tblBorders>
        <w:tblLayout w:type="fixed"/>
        <w:tblCellMar>
          <w:left w:w="0" w:type="dxa"/>
          <w:right w:w="0" w:type="dxa"/>
        </w:tblCellMar>
        <w:tblLook w:val="0000"/>
      </w:tblPr>
      <w:tblGrid>
        <w:gridCol w:w="644"/>
        <w:gridCol w:w="845"/>
        <w:gridCol w:w="2870"/>
        <w:gridCol w:w="600"/>
        <w:gridCol w:w="600"/>
        <w:gridCol w:w="525"/>
        <w:gridCol w:w="563"/>
        <w:gridCol w:w="525"/>
        <w:gridCol w:w="575"/>
        <w:gridCol w:w="649"/>
      </w:tblGrid>
      <w:tr w:rsidR="00676874">
        <w:trPr>
          <w:tblCellSpacing w:w="0" w:type="dxa"/>
        </w:trPr>
        <w:tc>
          <w:tcPr>
            <w:tcW w:w="4359" w:type="dxa"/>
            <w:gridSpan w:val="3"/>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（本列数据的勾稽关系为：第一项加第二项之和，等于第三项加第四项之和）</w:t>
            </w:r>
          </w:p>
        </w:tc>
        <w:tc>
          <w:tcPr>
            <w:tcW w:w="4037" w:type="dxa"/>
            <w:gridSpan w:val="7"/>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申请人情况</w:t>
            </w:r>
          </w:p>
        </w:tc>
      </w:tr>
      <w:tr w:rsidR="00676874">
        <w:trPr>
          <w:tblCellSpacing w:w="0" w:type="dxa"/>
        </w:trPr>
        <w:tc>
          <w:tcPr>
            <w:tcW w:w="4359" w:type="dxa"/>
            <w:gridSpan w:val="3"/>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600"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自然人</w:t>
            </w:r>
          </w:p>
        </w:tc>
        <w:tc>
          <w:tcPr>
            <w:tcW w:w="2788" w:type="dxa"/>
            <w:gridSpan w:val="5"/>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法人或其他组织</w:t>
            </w:r>
          </w:p>
        </w:tc>
        <w:tc>
          <w:tcPr>
            <w:tcW w:w="649"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总计</w:t>
            </w:r>
          </w:p>
        </w:tc>
      </w:tr>
      <w:tr w:rsidR="00676874">
        <w:trPr>
          <w:tblCellSpacing w:w="0" w:type="dxa"/>
        </w:trPr>
        <w:tc>
          <w:tcPr>
            <w:tcW w:w="4359" w:type="dxa"/>
            <w:gridSpan w:val="3"/>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600"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商业企业</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科研机构</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社会公益组织</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法律服务机构</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其他</w:t>
            </w:r>
          </w:p>
        </w:tc>
        <w:tc>
          <w:tcPr>
            <w:tcW w:w="649"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r>
      <w:tr w:rsidR="00676874">
        <w:trPr>
          <w:tblCellSpacing w:w="0" w:type="dxa"/>
        </w:trPr>
        <w:tc>
          <w:tcPr>
            <w:tcW w:w="4359" w:type="dxa"/>
            <w:gridSpan w:val="3"/>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一、本年新收政府信息公开申请数量</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4359" w:type="dxa"/>
            <w:gridSpan w:val="3"/>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二、上年结转政府信息公开申请数量</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三、本年度办结结果</w:t>
            </w:r>
          </w:p>
        </w:tc>
        <w:tc>
          <w:tcPr>
            <w:tcW w:w="3715" w:type="dxa"/>
            <w:gridSpan w:val="2"/>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（一）予以公开</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3715" w:type="dxa"/>
            <w:gridSpan w:val="2"/>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（二）部分公开（区分处理的，只计这一情形，不计其他情形）</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（三）不予公开</w:t>
            </w: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1.</w:t>
            </w:r>
            <w:r>
              <w:rPr>
                <w:rFonts w:ascii="宋体" w:eastAsia="宋体" w:hAnsi="宋体" w:cs="宋体"/>
                <w:color w:val="333333"/>
                <w:sz w:val="24"/>
                <w:szCs w:val="24"/>
              </w:rPr>
              <w:t>属于国家秘密</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2.</w:t>
            </w:r>
            <w:r>
              <w:rPr>
                <w:rFonts w:ascii="宋体" w:eastAsia="宋体" w:hAnsi="宋体" w:cs="宋体"/>
                <w:color w:val="333333"/>
                <w:sz w:val="24"/>
                <w:szCs w:val="24"/>
              </w:rPr>
              <w:t>其他法律行政法规禁止公开</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3.</w:t>
            </w:r>
            <w:r>
              <w:rPr>
                <w:rFonts w:ascii="宋体" w:eastAsia="宋体" w:hAnsi="宋体" w:cs="宋体"/>
                <w:color w:val="333333"/>
                <w:sz w:val="24"/>
                <w:szCs w:val="24"/>
              </w:rPr>
              <w:t>危及</w:t>
            </w:r>
            <w:r>
              <w:rPr>
                <w:rFonts w:ascii="宋体" w:eastAsia="宋体" w:hAnsi="宋体" w:cs="宋体"/>
                <w:color w:val="333333"/>
                <w:sz w:val="24"/>
                <w:szCs w:val="24"/>
              </w:rPr>
              <w:t>“</w:t>
            </w:r>
            <w:r>
              <w:rPr>
                <w:rFonts w:ascii="宋体" w:eastAsia="宋体" w:hAnsi="宋体" w:cs="宋体"/>
                <w:color w:val="333333"/>
                <w:sz w:val="24"/>
                <w:szCs w:val="24"/>
              </w:rPr>
              <w:t>三安全一稳定</w:t>
            </w:r>
            <w:r>
              <w:rPr>
                <w:rFonts w:ascii="宋体" w:eastAsia="宋体" w:hAnsi="宋体" w:cs="宋体"/>
                <w:color w:val="333333"/>
                <w:sz w:val="24"/>
                <w:szCs w:val="24"/>
              </w:rPr>
              <w:t>”</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4.</w:t>
            </w:r>
            <w:r>
              <w:rPr>
                <w:rFonts w:ascii="宋体" w:eastAsia="宋体" w:hAnsi="宋体" w:cs="宋体"/>
                <w:color w:val="333333"/>
                <w:sz w:val="24"/>
                <w:szCs w:val="24"/>
              </w:rPr>
              <w:t>保护第三方合法权益</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5.</w:t>
            </w:r>
            <w:r>
              <w:rPr>
                <w:rFonts w:ascii="宋体" w:eastAsia="宋体" w:hAnsi="宋体" w:cs="宋体"/>
                <w:color w:val="333333"/>
                <w:sz w:val="24"/>
                <w:szCs w:val="24"/>
              </w:rPr>
              <w:t>属于三类内部事务信息</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6.</w:t>
            </w:r>
            <w:r>
              <w:rPr>
                <w:rFonts w:ascii="宋体" w:eastAsia="宋体" w:hAnsi="宋体" w:cs="宋体"/>
                <w:color w:val="333333"/>
                <w:sz w:val="24"/>
                <w:szCs w:val="24"/>
              </w:rPr>
              <w:t>属于四类过程性信息</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7.</w:t>
            </w:r>
            <w:r>
              <w:rPr>
                <w:rFonts w:ascii="宋体" w:eastAsia="宋体" w:hAnsi="宋体" w:cs="宋体"/>
                <w:color w:val="333333"/>
                <w:sz w:val="24"/>
                <w:szCs w:val="24"/>
              </w:rPr>
              <w:t>属于行政执法案卷</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8.</w:t>
            </w:r>
            <w:r>
              <w:rPr>
                <w:rFonts w:ascii="宋体" w:eastAsia="宋体" w:hAnsi="宋体" w:cs="宋体"/>
                <w:color w:val="333333"/>
                <w:sz w:val="24"/>
                <w:szCs w:val="24"/>
              </w:rPr>
              <w:t>属于行政查询事项</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（四）无法提供</w:t>
            </w: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1.</w:t>
            </w:r>
            <w:r>
              <w:rPr>
                <w:rFonts w:ascii="宋体" w:eastAsia="宋体" w:hAnsi="宋体" w:cs="宋体"/>
                <w:color w:val="333333"/>
                <w:sz w:val="24"/>
                <w:szCs w:val="24"/>
              </w:rPr>
              <w:t>本机关不掌握相关政府信息</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2.</w:t>
            </w:r>
            <w:r>
              <w:rPr>
                <w:rFonts w:ascii="宋体" w:eastAsia="宋体" w:hAnsi="宋体" w:cs="宋体"/>
                <w:color w:val="333333"/>
                <w:sz w:val="24"/>
                <w:szCs w:val="24"/>
              </w:rPr>
              <w:t>没有现成信息需要另行制作</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3.</w:t>
            </w:r>
            <w:r>
              <w:rPr>
                <w:rFonts w:ascii="宋体" w:eastAsia="宋体" w:hAnsi="宋体" w:cs="宋体"/>
                <w:color w:val="333333"/>
                <w:sz w:val="24"/>
                <w:szCs w:val="24"/>
              </w:rPr>
              <w:t>补正后申请内容仍不明确</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（五）不予处理</w:t>
            </w: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1.</w:t>
            </w:r>
            <w:r>
              <w:rPr>
                <w:rFonts w:ascii="宋体" w:eastAsia="宋体" w:hAnsi="宋体" w:cs="宋体"/>
                <w:color w:val="333333"/>
                <w:sz w:val="24"/>
                <w:szCs w:val="24"/>
              </w:rPr>
              <w:t>信访举报投诉类申请</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2.</w:t>
            </w:r>
            <w:r>
              <w:rPr>
                <w:rFonts w:ascii="宋体" w:eastAsia="宋体" w:hAnsi="宋体" w:cs="宋体"/>
                <w:color w:val="333333"/>
                <w:sz w:val="24"/>
                <w:szCs w:val="24"/>
              </w:rPr>
              <w:t>重复申请</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3.</w:t>
            </w:r>
            <w:r>
              <w:rPr>
                <w:rFonts w:ascii="宋体" w:eastAsia="宋体" w:hAnsi="宋体" w:cs="宋体"/>
                <w:color w:val="333333"/>
                <w:sz w:val="24"/>
                <w:szCs w:val="24"/>
              </w:rPr>
              <w:t>要求提供公开出版物</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4.</w:t>
            </w:r>
            <w:r>
              <w:rPr>
                <w:rFonts w:ascii="宋体" w:eastAsia="宋体" w:hAnsi="宋体" w:cs="宋体"/>
                <w:color w:val="333333"/>
                <w:sz w:val="24"/>
                <w:szCs w:val="24"/>
              </w:rPr>
              <w:t>无正当理由大量反复申请</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845"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2870" w:type="dxa"/>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5.</w:t>
            </w:r>
            <w:r>
              <w:rPr>
                <w:rFonts w:ascii="宋体" w:eastAsia="宋体" w:hAnsi="宋体" w:cs="宋体"/>
                <w:color w:val="333333"/>
                <w:sz w:val="24"/>
                <w:szCs w:val="24"/>
              </w:rPr>
              <w:t>要求行政机关确认或重新出具已获取信息</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3715" w:type="dxa"/>
            <w:gridSpan w:val="2"/>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（六）其他处理</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644"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3715" w:type="dxa"/>
            <w:gridSpan w:val="2"/>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（七）总计</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r w:rsidR="00676874">
        <w:trPr>
          <w:tblCellSpacing w:w="0" w:type="dxa"/>
        </w:trPr>
        <w:tc>
          <w:tcPr>
            <w:tcW w:w="4359" w:type="dxa"/>
            <w:gridSpan w:val="3"/>
            <w:tcBorders>
              <w:bottom w:val="single" w:sz="6" w:space="0" w:color="CCCCCC"/>
              <w:right w:val="single" w:sz="6" w:space="0" w:color="CCCCCC"/>
            </w:tcBorders>
            <w:tcMar>
              <w:top w:w="30" w:type="dxa"/>
              <w:left w:w="30" w:type="dxa"/>
              <w:bottom w:w="30" w:type="dxa"/>
              <w:right w:w="30" w:type="dxa"/>
            </w:tcMar>
          </w:tcPr>
          <w:p w:rsidR="00676874" w:rsidRDefault="005F5267">
            <w:pPr>
              <w:shd w:val="clear" w:color="000000" w:fill="auto"/>
              <w:adjustRightInd/>
              <w:snapToGrid/>
              <w:spacing w:after="0" w:line="450" w:lineRule="atLeast"/>
              <w:rPr>
                <w:rFonts w:ascii="宋体" w:eastAsia="宋体" w:hAnsi="宋体" w:cs="宋体"/>
                <w:color w:val="333333"/>
                <w:sz w:val="24"/>
                <w:szCs w:val="24"/>
              </w:rPr>
            </w:pPr>
            <w:r>
              <w:rPr>
                <w:rFonts w:ascii="宋体" w:eastAsia="宋体" w:hAnsi="宋体" w:cs="宋体"/>
                <w:color w:val="333333"/>
                <w:sz w:val="24"/>
                <w:szCs w:val="24"/>
              </w:rPr>
              <w:t>四、结转下年度继续办理</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0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3"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2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75"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64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bl>
    <w:p w:rsidR="00676874" w:rsidRDefault="005F5267">
      <w:pPr>
        <w:adjustRightInd/>
        <w:snapToGrid/>
        <w:spacing w:before="150" w:after="150" w:line="450" w:lineRule="atLeast"/>
        <w:ind w:firstLine="480"/>
        <w:rPr>
          <w:rFonts w:ascii="仿宋" w:eastAsia="仿宋" w:hAnsi="仿宋" w:cs="宋体"/>
          <w:b/>
          <w:color w:val="333333"/>
          <w:sz w:val="32"/>
          <w:szCs w:val="32"/>
        </w:rPr>
      </w:pPr>
      <w:r>
        <w:rPr>
          <w:rFonts w:ascii="黑体" w:eastAsia="黑体" w:hAnsi="黑体" w:cs="宋体" w:hint="eastAsia"/>
          <w:kern w:val="2"/>
          <w:sz w:val="32"/>
          <w:szCs w:val="24"/>
        </w:rPr>
        <w:t xml:space="preserve">  </w:t>
      </w:r>
      <w:r>
        <w:rPr>
          <w:rFonts w:ascii="黑体" w:eastAsia="黑体" w:hAnsi="黑体" w:cs="宋体" w:hint="eastAsia"/>
          <w:kern w:val="2"/>
          <w:sz w:val="32"/>
          <w:szCs w:val="24"/>
        </w:rPr>
        <w:t>四、政府信息公开行政复议、行政诉讼情况</w:t>
      </w:r>
      <w:r>
        <w:rPr>
          <w:rFonts w:ascii="黑体" w:eastAsia="黑体" w:hAnsi="黑体" w:cs="宋体" w:hint="eastAsia"/>
          <w:kern w:val="2"/>
          <w:sz w:val="32"/>
          <w:szCs w:val="24"/>
        </w:rPr>
        <w:t> </w:t>
      </w:r>
    </w:p>
    <w:tbl>
      <w:tblPr>
        <w:tblW w:w="8396" w:type="dxa"/>
        <w:tblCellSpacing w:w="0" w:type="dxa"/>
        <w:tblBorders>
          <w:top w:val="single" w:sz="6" w:space="0" w:color="CCCCCC"/>
          <w:left w:val="single" w:sz="6" w:space="0" w:color="CCCCCC"/>
        </w:tblBorders>
        <w:tblLayout w:type="fixed"/>
        <w:tblCellMar>
          <w:left w:w="0" w:type="dxa"/>
          <w:right w:w="0" w:type="dxa"/>
        </w:tblCellMar>
        <w:tblLook w:val="0000"/>
      </w:tblPr>
      <w:tblGrid>
        <w:gridCol w:w="559"/>
        <w:gridCol w:w="557"/>
        <w:gridCol w:w="557"/>
        <w:gridCol w:w="557"/>
        <w:gridCol w:w="569"/>
        <w:gridCol w:w="556"/>
        <w:gridCol w:w="556"/>
        <w:gridCol w:w="556"/>
        <w:gridCol w:w="556"/>
        <w:gridCol w:w="569"/>
        <w:gridCol w:w="556"/>
        <w:gridCol w:w="556"/>
        <w:gridCol w:w="556"/>
        <w:gridCol w:w="556"/>
        <w:gridCol w:w="580"/>
      </w:tblGrid>
      <w:tr w:rsidR="00676874">
        <w:trPr>
          <w:tblCellSpacing w:w="0" w:type="dxa"/>
        </w:trPr>
        <w:tc>
          <w:tcPr>
            <w:tcW w:w="2799" w:type="dxa"/>
            <w:gridSpan w:val="5"/>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行政复议</w:t>
            </w:r>
          </w:p>
        </w:tc>
        <w:tc>
          <w:tcPr>
            <w:tcW w:w="5597" w:type="dxa"/>
            <w:gridSpan w:val="10"/>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行政诉讼</w:t>
            </w:r>
          </w:p>
        </w:tc>
      </w:tr>
      <w:tr w:rsidR="00676874">
        <w:trPr>
          <w:tblCellSpacing w:w="0" w:type="dxa"/>
        </w:trPr>
        <w:tc>
          <w:tcPr>
            <w:tcW w:w="559"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结果维持</w:t>
            </w:r>
          </w:p>
        </w:tc>
        <w:tc>
          <w:tcPr>
            <w:tcW w:w="557"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结果纠正</w:t>
            </w:r>
          </w:p>
        </w:tc>
        <w:tc>
          <w:tcPr>
            <w:tcW w:w="557"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其他结果</w:t>
            </w:r>
          </w:p>
        </w:tc>
        <w:tc>
          <w:tcPr>
            <w:tcW w:w="557"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尚未审结</w:t>
            </w:r>
          </w:p>
        </w:tc>
        <w:tc>
          <w:tcPr>
            <w:tcW w:w="569" w:type="dxa"/>
            <w:vMerge w:val="restart"/>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总计</w:t>
            </w:r>
          </w:p>
        </w:tc>
        <w:tc>
          <w:tcPr>
            <w:tcW w:w="2793" w:type="dxa"/>
            <w:gridSpan w:val="5"/>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未经复议直接起诉</w:t>
            </w:r>
          </w:p>
        </w:tc>
        <w:tc>
          <w:tcPr>
            <w:tcW w:w="2804" w:type="dxa"/>
            <w:gridSpan w:val="5"/>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复议后起诉</w:t>
            </w:r>
          </w:p>
        </w:tc>
      </w:tr>
      <w:tr w:rsidR="00676874">
        <w:trPr>
          <w:trHeight w:val="1475"/>
          <w:tblCellSpacing w:w="0" w:type="dxa"/>
        </w:trPr>
        <w:tc>
          <w:tcPr>
            <w:tcW w:w="559"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557"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557"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557"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569" w:type="dxa"/>
            <w:vMerge/>
            <w:tcBorders>
              <w:bottom w:val="single" w:sz="6" w:space="0" w:color="CCCCCC"/>
              <w:right w:val="single" w:sz="6" w:space="0" w:color="CCCCCC"/>
            </w:tcBorders>
            <w:vAlign w:val="center"/>
          </w:tcPr>
          <w:p w:rsidR="00676874" w:rsidRDefault="00676874">
            <w:pPr>
              <w:shd w:val="clear" w:color="000000" w:fill="auto"/>
              <w:adjustRightInd/>
              <w:snapToGrid/>
              <w:spacing w:after="0"/>
              <w:rPr>
                <w:rFonts w:ascii="宋体" w:eastAsia="宋体" w:hAnsi="宋体" w:cs="宋体"/>
                <w:color w:val="333333"/>
                <w:sz w:val="24"/>
                <w:szCs w:val="24"/>
              </w:rPr>
            </w:pP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结果维持</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结果纠正</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其他结果</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尚未审结</w:t>
            </w:r>
          </w:p>
        </w:tc>
        <w:tc>
          <w:tcPr>
            <w:tcW w:w="56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总计</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结果维持</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结果纠正</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其他结果</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尚未审结</w:t>
            </w:r>
          </w:p>
        </w:tc>
        <w:tc>
          <w:tcPr>
            <w:tcW w:w="58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总计</w:t>
            </w:r>
          </w:p>
        </w:tc>
      </w:tr>
      <w:tr w:rsidR="00676874">
        <w:trPr>
          <w:tblCellSpacing w:w="0" w:type="dxa"/>
        </w:trPr>
        <w:tc>
          <w:tcPr>
            <w:tcW w:w="55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0</w:t>
            </w:r>
          </w:p>
        </w:tc>
        <w:tc>
          <w:tcPr>
            <w:tcW w:w="5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1</w:t>
            </w:r>
          </w:p>
        </w:tc>
        <w:tc>
          <w:tcPr>
            <w:tcW w:w="557"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1</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0</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69"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hint="eastAsia"/>
                <w:color w:val="333333"/>
                <w:sz w:val="24"/>
                <w:szCs w:val="24"/>
              </w:rPr>
              <w:t>0</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56"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c>
          <w:tcPr>
            <w:tcW w:w="580" w:type="dxa"/>
            <w:tcBorders>
              <w:bottom w:val="single" w:sz="6" w:space="0" w:color="CCCCCC"/>
              <w:right w:val="single" w:sz="6" w:space="0" w:color="CCCCCC"/>
            </w:tcBorders>
            <w:tcMar>
              <w:top w:w="30" w:type="dxa"/>
              <w:left w:w="30" w:type="dxa"/>
              <w:bottom w:w="30" w:type="dxa"/>
              <w:right w:w="30" w:type="dxa"/>
            </w:tcMar>
            <w:vAlign w:val="center"/>
          </w:tcPr>
          <w:p w:rsidR="00676874" w:rsidRDefault="005F5267">
            <w:pPr>
              <w:shd w:val="clear" w:color="000000" w:fill="auto"/>
              <w:adjustRightInd/>
              <w:snapToGrid/>
              <w:spacing w:after="0" w:line="450" w:lineRule="atLeast"/>
              <w:jc w:val="center"/>
              <w:rPr>
                <w:rFonts w:ascii="宋体" w:eastAsia="宋体" w:hAnsi="宋体" w:cs="宋体"/>
                <w:color w:val="333333"/>
                <w:sz w:val="24"/>
                <w:szCs w:val="24"/>
              </w:rPr>
            </w:pPr>
            <w:r>
              <w:rPr>
                <w:rFonts w:ascii="宋体" w:eastAsia="宋体" w:hAnsi="宋体" w:cs="宋体"/>
                <w:color w:val="333333"/>
                <w:sz w:val="24"/>
                <w:szCs w:val="24"/>
              </w:rPr>
              <w:t>0</w:t>
            </w:r>
          </w:p>
        </w:tc>
      </w:tr>
    </w:tbl>
    <w:p w:rsidR="00676874" w:rsidRDefault="005F5267">
      <w:pPr>
        <w:adjustRightInd/>
        <w:snapToGrid/>
        <w:spacing w:before="150" w:after="150" w:line="450" w:lineRule="atLeast"/>
        <w:ind w:firstLine="480"/>
        <w:rPr>
          <w:rFonts w:ascii="黑体" w:eastAsia="黑体" w:hAnsi="黑体" w:cs="宋体"/>
          <w:kern w:val="2"/>
          <w:sz w:val="32"/>
          <w:szCs w:val="24"/>
        </w:rPr>
      </w:pPr>
      <w:r>
        <w:rPr>
          <w:rFonts w:ascii="黑体" w:eastAsia="黑体" w:hAnsi="黑体" w:cs="宋体" w:hint="eastAsia"/>
          <w:kern w:val="2"/>
          <w:sz w:val="32"/>
          <w:szCs w:val="24"/>
        </w:rPr>
        <w:lastRenderedPageBreak/>
        <w:t xml:space="preserve"> </w:t>
      </w:r>
      <w:r>
        <w:rPr>
          <w:rFonts w:ascii="黑体" w:eastAsia="黑体" w:hAnsi="黑体" w:cs="宋体" w:hint="eastAsia"/>
          <w:kern w:val="2"/>
          <w:sz w:val="32"/>
          <w:szCs w:val="24"/>
        </w:rPr>
        <w:t>五、政府信息公开工作存在的主要问题及改进情况</w:t>
      </w:r>
    </w:p>
    <w:p w:rsidR="00676874" w:rsidRDefault="005F5267">
      <w:pPr>
        <w:pStyle w:val="a5"/>
        <w:spacing w:before="0" w:beforeAutospacing="0" w:after="0" w:afterAutospacing="0" w:line="560" w:lineRule="exact"/>
        <w:jc w:val="both"/>
        <w:rPr>
          <w:rFonts w:ascii="仿宋_GB2312" w:eastAsia="仿宋_GB2312" w:hAnsi="仿宋_GB2312" w:cs="仿宋_GB2312"/>
          <w:kern w:val="2"/>
          <w:sz w:val="32"/>
          <w:szCs w:val="32"/>
        </w:rPr>
      </w:pPr>
      <w:r>
        <w:rPr>
          <w:rFonts w:ascii="仿宋_GB2312" w:eastAsia="仿宋_GB2312" w:hAnsi="仿宋_GB2312" w:cs="仿宋_GB2312" w:hint="eastAsia"/>
          <w:sz w:val="32"/>
          <w:szCs w:val="32"/>
        </w:rPr>
        <w:t>201</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，县司法局</w:t>
      </w:r>
      <w:r>
        <w:rPr>
          <w:rFonts w:ascii="仿宋_GB2312" w:eastAsia="仿宋_GB2312" w:hAnsi="仿宋_GB2312" w:cs="仿宋_GB2312" w:hint="eastAsia"/>
          <w:sz w:val="32"/>
          <w:szCs w:val="32"/>
        </w:rPr>
        <w:t>没有收到依申请公开政府信息的情况；</w:t>
      </w:r>
      <w:r>
        <w:rPr>
          <w:rFonts w:ascii="仿宋_GB2312" w:eastAsia="仿宋_GB2312" w:hAnsi="仿宋_GB2312" w:cs="仿宋_GB2312" w:hint="eastAsia"/>
          <w:sz w:val="32"/>
          <w:szCs w:val="32"/>
        </w:rPr>
        <w:t>没有制发规范性文件；没有行政复议及行政诉讼案件。虽然，政务公开力度较</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年有所增大，但</w:t>
      </w:r>
      <w:r>
        <w:rPr>
          <w:rFonts w:ascii="仿宋_GB2312" w:eastAsia="仿宋_GB2312" w:hAnsi="仿宋_GB2312" w:cs="仿宋_GB2312" w:hint="eastAsia"/>
          <w:sz w:val="32"/>
          <w:szCs w:val="32"/>
        </w:rPr>
        <w:t>公开内容与公众的需求还存在一些差距，信息公开流程还有待规范，特别是信息公开的时效性有等加强，这些均需在今后工作中加以改进。</w:t>
      </w:r>
      <w:r>
        <w:rPr>
          <w:rFonts w:ascii="仿宋_GB2312" w:eastAsia="仿宋_GB2312" w:hAnsi="仿宋_GB2312" w:cs="仿宋_GB2312" w:hint="eastAsia"/>
          <w:kern w:val="2"/>
          <w:sz w:val="32"/>
          <w:szCs w:val="32"/>
        </w:rPr>
        <w:t>我们</w:t>
      </w:r>
      <w:r>
        <w:rPr>
          <w:rFonts w:ascii="仿宋_GB2312" w:eastAsia="仿宋_GB2312" w:hAnsi="仿宋_GB2312" w:cs="仿宋_GB2312" w:hint="eastAsia"/>
          <w:kern w:val="2"/>
          <w:sz w:val="32"/>
          <w:szCs w:val="32"/>
        </w:rPr>
        <w:t>对政务信息公开工作的组织领导、制度机制、平台建设、监督问责等各方面职责任务进行了明确，政务信息公开工作取得了一定的成绩。</w:t>
      </w:r>
      <w:r>
        <w:rPr>
          <w:rFonts w:ascii="仿宋_GB2312" w:eastAsia="仿宋_GB2312" w:hAnsi="仿宋_GB2312" w:cs="仿宋_GB2312" w:hint="eastAsia"/>
          <w:kern w:val="2"/>
          <w:sz w:val="32"/>
          <w:szCs w:val="32"/>
        </w:rPr>
        <w:t>但也</w:t>
      </w:r>
      <w:r>
        <w:rPr>
          <w:rFonts w:ascii="仿宋_GB2312" w:eastAsia="仿宋_GB2312" w:hAnsi="仿宋_GB2312" w:cs="仿宋_GB2312" w:hint="eastAsia"/>
          <w:kern w:val="2"/>
          <w:sz w:val="32"/>
          <w:szCs w:val="32"/>
        </w:rPr>
        <w:t>存在着一些不足和困难</w:t>
      </w:r>
      <w:r>
        <w:rPr>
          <w:rFonts w:ascii="仿宋_GB2312" w:eastAsia="仿宋_GB2312" w:hAnsi="仿宋_GB2312" w:cs="仿宋_GB2312" w:hint="eastAsia"/>
          <w:kern w:val="2"/>
          <w:sz w:val="32"/>
          <w:szCs w:val="32"/>
        </w:rPr>
        <w:t>,</w:t>
      </w:r>
      <w:r>
        <w:rPr>
          <w:rFonts w:ascii="仿宋_GB2312" w:eastAsia="仿宋_GB2312" w:hAnsi="仿宋_GB2312" w:cs="仿宋_GB2312" w:hint="eastAsia"/>
          <w:kern w:val="2"/>
          <w:sz w:val="32"/>
          <w:szCs w:val="32"/>
        </w:rPr>
        <w:t>主要表现在：一是</w:t>
      </w:r>
      <w:r>
        <w:rPr>
          <w:rFonts w:ascii="仿宋_GB2312" w:eastAsia="仿宋_GB2312" w:hAnsi="仿宋_GB2312" w:cs="仿宋_GB2312" w:hint="eastAsia"/>
          <w:kern w:val="2"/>
          <w:sz w:val="32"/>
          <w:szCs w:val="32"/>
        </w:rPr>
        <w:t>重组</w:t>
      </w:r>
      <w:r>
        <w:rPr>
          <w:rFonts w:ascii="仿宋_GB2312" w:eastAsia="仿宋_GB2312" w:hAnsi="仿宋_GB2312" w:cs="仿宋_GB2312" w:hint="eastAsia"/>
          <w:kern w:val="2"/>
          <w:sz w:val="32"/>
          <w:szCs w:val="32"/>
        </w:rPr>
        <w:t>后部门职能任务调整变化较大，政务信息公开工作运转还不够顺畅，还需不断调整完善工作机制，加强统筹协调；二是</w:t>
      </w:r>
      <w:r>
        <w:rPr>
          <w:rFonts w:ascii="仿宋_GB2312" w:eastAsia="仿宋_GB2312" w:hAnsi="仿宋_GB2312" w:cs="仿宋_GB2312" w:hint="eastAsia"/>
          <w:kern w:val="2"/>
          <w:sz w:val="32"/>
          <w:szCs w:val="32"/>
        </w:rPr>
        <w:t>对政务公开工作重视不够，政策解读较少，在公开内容及力度上有</w:t>
      </w:r>
      <w:r>
        <w:rPr>
          <w:rFonts w:ascii="仿宋_GB2312" w:eastAsia="仿宋_GB2312" w:hAnsi="仿宋_GB2312" w:cs="仿宋_GB2312" w:hint="eastAsia"/>
          <w:kern w:val="2"/>
          <w:sz w:val="32"/>
          <w:szCs w:val="32"/>
        </w:rPr>
        <w:t>待进一步加强；三是人员力量不足，</w:t>
      </w:r>
      <w:r>
        <w:rPr>
          <w:rFonts w:ascii="仿宋_GB2312" w:eastAsia="仿宋_GB2312" w:hAnsi="仿宋_GB2312" w:cs="仿宋_GB2312" w:hint="eastAsia"/>
          <w:kern w:val="2"/>
          <w:sz w:val="32"/>
          <w:szCs w:val="32"/>
        </w:rPr>
        <w:t>没有专职政务公开的工作</w:t>
      </w:r>
      <w:bookmarkStart w:id="0" w:name="_GoBack"/>
      <w:bookmarkEnd w:id="0"/>
      <w:r>
        <w:rPr>
          <w:rFonts w:ascii="仿宋_GB2312" w:eastAsia="仿宋_GB2312" w:hAnsi="仿宋_GB2312" w:cs="仿宋_GB2312" w:hint="eastAsia"/>
          <w:kern w:val="2"/>
          <w:sz w:val="32"/>
          <w:szCs w:val="32"/>
        </w:rPr>
        <w:t>人员，</w:t>
      </w:r>
      <w:r>
        <w:rPr>
          <w:rFonts w:ascii="仿宋_GB2312" w:eastAsia="仿宋_GB2312" w:hAnsi="仿宋_GB2312" w:cs="仿宋_GB2312" w:hint="eastAsia"/>
          <w:kern w:val="2"/>
          <w:sz w:val="32"/>
          <w:szCs w:val="32"/>
        </w:rPr>
        <w:t>兼职人员</w:t>
      </w:r>
      <w:r>
        <w:rPr>
          <w:rFonts w:ascii="仿宋_GB2312" w:eastAsia="仿宋_GB2312" w:hAnsi="仿宋_GB2312" w:cs="仿宋_GB2312" w:hint="eastAsia"/>
          <w:kern w:val="2"/>
          <w:sz w:val="32"/>
          <w:szCs w:val="32"/>
        </w:rPr>
        <w:t>的</w:t>
      </w:r>
      <w:r>
        <w:rPr>
          <w:rFonts w:ascii="仿宋_GB2312" w:eastAsia="仿宋_GB2312" w:hAnsi="仿宋_GB2312" w:cs="仿宋_GB2312" w:hint="eastAsia"/>
          <w:kern w:val="2"/>
          <w:sz w:val="32"/>
          <w:szCs w:val="32"/>
        </w:rPr>
        <w:t>能力水平还需进一步提升。</w:t>
      </w:r>
    </w:p>
    <w:p w:rsidR="00676874" w:rsidRDefault="005F5267">
      <w:pPr>
        <w:pStyle w:val="a5"/>
        <w:spacing w:before="0" w:beforeAutospacing="0" w:after="0" w:afterAutospacing="0" w:line="560" w:lineRule="exact"/>
        <w:ind w:firstLineChars="200" w:firstLine="640"/>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 xml:space="preserve"> 2019</w:t>
      </w:r>
      <w:r>
        <w:rPr>
          <w:rFonts w:ascii="仿宋_GB2312" w:eastAsia="仿宋_GB2312" w:hAnsi="仿宋_GB2312" w:cs="仿宋_GB2312" w:hint="eastAsia"/>
          <w:kern w:val="2"/>
          <w:sz w:val="32"/>
          <w:szCs w:val="32"/>
        </w:rPr>
        <w:t>年</w:t>
      </w:r>
      <w:r>
        <w:rPr>
          <w:rFonts w:ascii="仿宋_GB2312" w:eastAsia="仿宋_GB2312" w:hAnsi="仿宋_GB2312" w:cs="仿宋_GB2312" w:hint="eastAsia"/>
          <w:kern w:val="2"/>
          <w:sz w:val="32"/>
          <w:szCs w:val="32"/>
        </w:rPr>
        <w:t>，</w:t>
      </w:r>
      <w:r>
        <w:rPr>
          <w:rFonts w:ascii="仿宋_GB2312" w:eastAsia="仿宋_GB2312" w:hAnsi="仿宋_GB2312" w:cs="仿宋_GB2312" w:hint="eastAsia"/>
          <w:kern w:val="2"/>
          <w:sz w:val="32"/>
          <w:szCs w:val="32"/>
        </w:rPr>
        <w:t>我们</w:t>
      </w:r>
      <w:r>
        <w:rPr>
          <w:rFonts w:ascii="仿宋_GB2312" w:eastAsia="仿宋_GB2312" w:hAnsi="仿宋_GB2312" w:cs="仿宋_GB2312" w:hint="eastAsia"/>
          <w:kern w:val="2"/>
          <w:sz w:val="32"/>
          <w:szCs w:val="32"/>
        </w:rPr>
        <w:t>将从</w:t>
      </w:r>
      <w:r>
        <w:rPr>
          <w:rFonts w:ascii="仿宋_GB2312" w:eastAsia="仿宋_GB2312" w:hAnsi="仿宋_GB2312" w:cs="仿宋_GB2312" w:hint="eastAsia"/>
          <w:kern w:val="2"/>
          <w:sz w:val="32"/>
          <w:szCs w:val="32"/>
        </w:rPr>
        <w:t>以下</w:t>
      </w:r>
      <w:r>
        <w:rPr>
          <w:rFonts w:ascii="仿宋_GB2312" w:eastAsia="仿宋_GB2312" w:hAnsi="仿宋_GB2312" w:cs="仿宋_GB2312" w:hint="eastAsia"/>
          <w:kern w:val="2"/>
          <w:sz w:val="32"/>
          <w:szCs w:val="32"/>
        </w:rPr>
        <w:t>三方面继续提升政务信息公开工作质量</w:t>
      </w:r>
      <w:r>
        <w:rPr>
          <w:rFonts w:ascii="仿宋_GB2312" w:eastAsia="仿宋_GB2312" w:hAnsi="仿宋_GB2312" w:cs="仿宋_GB2312" w:hint="eastAsia"/>
          <w:kern w:val="2"/>
          <w:sz w:val="32"/>
          <w:szCs w:val="32"/>
        </w:rPr>
        <w:t>：</w:t>
      </w:r>
      <w:r>
        <w:rPr>
          <w:rFonts w:ascii="仿宋_GB2312" w:eastAsia="仿宋_GB2312" w:hAnsi="仿宋_GB2312" w:cs="仿宋_GB2312" w:hint="eastAsia"/>
          <w:kern w:val="2"/>
          <w:sz w:val="32"/>
          <w:szCs w:val="32"/>
        </w:rPr>
        <w:t>一是按照“公开是常态，不公开是例外”的原则，进一步加大政府信息公开力度</w:t>
      </w:r>
      <w:r>
        <w:rPr>
          <w:rFonts w:ascii="仿宋_GB2312" w:eastAsia="仿宋_GB2312" w:hAnsi="仿宋_GB2312" w:cs="仿宋_GB2312" w:hint="eastAsia"/>
          <w:kern w:val="2"/>
          <w:sz w:val="32"/>
          <w:szCs w:val="32"/>
        </w:rPr>
        <w:t>；</w:t>
      </w:r>
      <w:r>
        <w:rPr>
          <w:rFonts w:ascii="仿宋_GB2312" w:eastAsia="仿宋_GB2312" w:hAnsi="仿宋_GB2312" w:cs="仿宋_GB2312" w:hint="eastAsia"/>
          <w:kern w:val="2"/>
          <w:sz w:val="32"/>
          <w:szCs w:val="32"/>
        </w:rPr>
        <w:t>二是进一步完善各项工作制度，理顺工作运转机制，加强考核、监督，严格落实工作制度要求</w:t>
      </w:r>
      <w:r>
        <w:rPr>
          <w:rFonts w:ascii="仿宋_GB2312" w:eastAsia="仿宋_GB2312" w:hAnsi="仿宋_GB2312" w:cs="仿宋_GB2312" w:hint="eastAsia"/>
          <w:kern w:val="2"/>
          <w:sz w:val="32"/>
          <w:szCs w:val="32"/>
        </w:rPr>
        <w:t>；</w:t>
      </w:r>
      <w:r>
        <w:rPr>
          <w:rFonts w:ascii="仿宋_GB2312" w:eastAsia="仿宋_GB2312" w:hAnsi="仿宋_GB2312" w:cs="仿宋_GB2312" w:hint="eastAsia"/>
          <w:kern w:val="2"/>
          <w:sz w:val="32"/>
          <w:szCs w:val="32"/>
        </w:rPr>
        <w:t>三是加强队伍建设，进一步提升政府信息公开服务的能力水平。</w:t>
      </w:r>
    </w:p>
    <w:p w:rsidR="00676874" w:rsidRDefault="00676874">
      <w:pPr>
        <w:pStyle w:val="a5"/>
        <w:spacing w:before="0" w:beforeAutospacing="0" w:after="0" w:afterAutospacing="0" w:line="560" w:lineRule="exact"/>
        <w:ind w:firstLineChars="200" w:firstLine="640"/>
        <w:rPr>
          <w:rFonts w:ascii="仿宋_GB2312" w:eastAsia="仿宋_GB2312" w:hAnsi="仿宋_GB2312" w:cs="仿宋_GB2312"/>
          <w:kern w:val="2"/>
          <w:sz w:val="32"/>
          <w:szCs w:val="32"/>
        </w:rPr>
      </w:pPr>
    </w:p>
    <w:p w:rsidR="00676874" w:rsidRDefault="00676874">
      <w:pPr>
        <w:pStyle w:val="a5"/>
        <w:spacing w:before="0" w:beforeAutospacing="0" w:after="0" w:afterAutospacing="0" w:line="560" w:lineRule="exact"/>
        <w:ind w:firstLineChars="200" w:firstLine="640"/>
        <w:rPr>
          <w:rFonts w:ascii="仿宋_GB2312" w:eastAsia="仿宋_GB2312" w:hAnsi="仿宋_GB2312" w:cs="仿宋_GB2312"/>
          <w:kern w:val="2"/>
          <w:sz w:val="32"/>
          <w:szCs w:val="32"/>
        </w:rPr>
      </w:pPr>
    </w:p>
    <w:p w:rsidR="00676874" w:rsidRDefault="00676874">
      <w:pPr>
        <w:pStyle w:val="a5"/>
        <w:spacing w:before="0" w:beforeAutospacing="0" w:after="0" w:afterAutospacing="0" w:line="560" w:lineRule="exact"/>
        <w:ind w:firstLineChars="200" w:firstLine="640"/>
        <w:rPr>
          <w:rFonts w:ascii="仿宋_GB2312" w:eastAsia="仿宋_GB2312" w:hAnsi="仿宋_GB2312" w:cs="仿宋_GB2312"/>
          <w:kern w:val="2"/>
          <w:sz w:val="32"/>
          <w:szCs w:val="32"/>
        </w:rPr>
      </w:pPr>
    </w:p>
    <w:p w:rsidR="00676874" w:rsidRDefault="00676874">
      <w:pPr>
        <w:shd w:val="clear" w:color="000000" w:fill="auto"/>
        <w:spacing w:line="220" w:lineRule="atLeast"/>
      </w:pPr>
    </w:p>
    <w:sectPr w:rsidR="00676874" w:rsidSect="00676874">
      <w:pgSz w:w="11906" w:h="16838"/>
      <w:pgMar w:top="1440" w:right="1800" w:bottom="1440" w:left="1800" w:header="708"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267" w:rsidRDefault="005F5267" w:rsidP="000151F0">
      <w:pPr>
        <w:spacing w:after="0"/>
      </w:pPr>
      <w:r>
        <w:separator/>
      </w:r>
    </w:p>
  </w:endnote>
  <w:endnote w:type="continuationSeparator" w:id="1">
    <w:p w:rsidR="005F5267" w:rsidRDefault="005F5267" w:rsidP="000151F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267" w:rsidRDefault="005F5267" w:rsidP="000151F0">
      <w:pPr>
        <w:spacing w:after="0"/>
      </w:pPr>
      <w:r>
        <w:separator/>
      </w:r>
    </w:p>
  </w:footnote>
  <w:footnote w:type="continuationSeparator" w:id="1">
    <w:p w:rsidR="005F5267" w:rsidRDefault="005F5267" w:rsidP="000151F0">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characterSpacingControl w:val="doNotCompress"/>
  <w:hdrShapeDefaults>
    <o:shapedefaults v:ext="edit" spidmax="3074" fillcolor="#9cbee0" strokecolor="#739cc3">
      <v:fill color="#9cbee0" color2="#bbd5f0" type="gradient">
        <o:fill v:ext="view" type="gradientUnscaled"/>
      </v:fill>
      <v:stroke color="#739cc3" weight="1.25pt" miterlimit="2"/>
    </o:shapedefaults>
  </w:hdrShapeDefaults>
  <w:footnotePr>
    <w:footnote w:id="0"/>
    <w:footnote w:id="1"/>
  </w:footnotePr>
  <w:endnotePr>
    <w:endnote w:id="0"/>
    <w:endnote w:id="1"/>
  </w:endnotePr>
  <w:compat>
    <w:spaceForUL/>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6874"/>
    <w:rsid w:val="000151F0"/>
    <w:rsid w:val="005F5267"/>
    <w:rsid w:val="0067687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874"/>
    <w:pPr>
      <w:adjustRightInd w:val="0"/>
      <w:snapToGrid w:val="0"/>
      <w:spacing w:after="200"/>
    </w:pPr>
    <w:rPr>
      <w:rFonts w:ascii="Tahoma" w:eastAsia="微软雅黑" w:hAnsi="Tahoma" w:cs="黑体"/>
      <w:sz w:val="22"/>
      <w:szCs w:val="22"/>
    </w:rPr>
  </w:style>
  <w:style w:type="paragraph" w:styleId="2">
    <w:name w:val="heading 2"/>
    <w:basedOn w:val="a"/>
    <w:next w:val="a"/>
    <w:link w:val="2Char"/>
    <w:uiPriority w:val="9"/>
    <w:qFormat/>
    <w:rsid w:val="00676874"/>
    <w:pPr>
      <w:adjustRightInd/>
      <w:snapToGrid/>
      <w:spacing w:before="100" w:beforeAutospacing="1" w:after="100" w:afterAutospacing="1"/>
      <w:outlineLvl w:val="1"/>
    </w:pPr>
    <w:rPr>
      <w:rFonts w:ascii="宋体" w:eastAsia="宋体" w:hAnsi="宋体" w:cs="宋体"/>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rsid w:val="00676874"/>
    <w:pPr>
      <w:tabs>
        <w:tab w:val="center" w:pos="4153"/>
        <w:tab w:val="right" w:pos="8306"/>
      </w:tabs>
    </w:pPr>
    <w:rPr>
      <w:sz w:val="18"/>
    </w:rPr>
  </w:style>
  <w:style w:type="paragraph" w:styleId="a4">
    <w:name w:val="header"/>
    <w:basedOn w:val="a"/>
    <w:uiPriority w:val="99"/>
    <w:semiHidden/>
    <w:unhideWhenUsed/>
    <w:rsid w:val="00676874"/>
    <w:pPr>
      <w:pBdr>
        <w:top w:val="none" w:sz="0" w:space="1" w:color="auto"/>
        <w:left w:val="none" w:sz="0" w:space="4" w:color="auto"/>
        <w:bottom w:val="none" w:sz="0" w:space="1" w:color="auto"/>
        <w:right w:val="none" w:sz="0" w:space="4" w:color="auto"/>
      </w:pBdr>
      <w:tabs>
        <w:tab w:val="center" w:pos="4153"/>
        <w:tab w:val="right" w:pos="8306"/>
      </w:tabs>
      <w:jc w:val="both"/>
    </w:pPr>
    <w:rPr>
      <w:rFonts w:ascii="Times New Roman" w:hAnsi="Times New Roman"/>
      <w:sz w:val="18"/>
    </w:rPr>
  </w:style>
  <w:style w:type="paragraph" w:styleId="a5">
    <w:name w:val="Normal (Web)"/>
    <w:basedOn w:val="a"/>
    <w:uiPriority w:val="99"/>
    <w:unhideWhenUsed/>
    <w:qFormat/>
    <w:rsid w:val="00676874"/>
    <w:pPr>
      <w:adjustRightInd/>
      <w:snapToGrid/>
      <w:spacing w:before="100" w:beforeAutospacing="1" w:after="100" w:afterAutospacing="1"/>
    </w:pPr>
    <w:rPr>
      <w:rFonts w:ascii="宋体" w:eastAsia="宋体" w:hAnsi="宋体" w:cs="宋体"/>
      <w:sz w:val="24"/>
      <w:szCs w:val="24"/>
    </w:rPr>
  </w:style>
  <w:style w:type="character" w:styleId="a6">
    <w:name w:val="Strong"/>
    <w:basedOn w:val="a0"/>
    <w:uiPriority w:val="22"/>
    <w:qFormat/>
    <w:rsid w:val="00676874"/>
    <w:rPr>
      <w:b/>
      <w:bCs/>
    </w:rPr>
  </w:style>
  <w:style w:type="character" w:customStyle="1" w:styleId="2Char">
    <w:name w:val="标题 2 Char"/>
    <w:basedOn w:val="a0"/>
    <w:link w:val="2"/>
    <w:uiPriority w:val="9"/>
    <w:rsid w:val="00676874"/>
    <w:rPr>
      <w:rFonts w:ascii="宋体" w:eastAsia="宋体" w:hAnsi="宋体" w:cs="宋体"/>
      <w:b/>
      <w:bCs/>
      <w:sz w:val="36"/>
      <w:szCs w:val="3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375</Words>
  <Characters>2143</Characters>
  <Application>Microsoft Office Word</Application>
  <DocSecurity>0</DocSecurity>
  <Lines>17</Lines>
  <Paragraphs>5</Paragraphs>
  <ScaleCrop>false</ScaleCrop>
  <Company/>
  <LinksUpToDate>false</LinksUpToDate>
  <CharactersWithSpaces>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永靖县司法局</dc:title>
  <dc:creator>Administrator</dc:creator>
  <cp:lastModifiedBy>XXDZ</cp:lastModifiedBy>
  <cp:revision>1</cp:revision>
  <cp:lastPrinted>2020-10-27T03:32:00Z</cp:lastPrinted>
  <dcterms:created xsi:type="dcterms:W3CDTF">2008-09-11T17:20:00Z</dcterms:created>
  <dcterms:modified xsi:type="dcterms:W3CDTF">2020-10-28T02:12:00Z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2052-9.1.0.4337</vt:lpwstr>
  </property>
</Properties>
</file>